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75731" w14:textId="77777777" w:rsidR="00B84CC1" w:rsidRPr="004C7D63" w:rsidRDefault="004C7D63" w:rsidP="00DE22B8">
      <w:pPr>
        <w:spacing w:after="120"/>
        <w:rPr>
          <w:sz w:val="22"/>
          <w:szCs w:val="22"/>
          <w:lang w:val="de-DE" w:eastAsia="zh-CN"/>
        </w:rPr>
      </w:pPr>
      <w:r w:rsidRPr="004C7D63">
        <w:rPr>
          <w:b/>
          <w:bCs/>
          <w:color w:val="1F497D"/>
          <w:sz w:val="40"/>
          <w:szCs w:val="40"/>
          <w:lang w:val="de-DE"/>
        </w:rPr>
        <w:t>MODULYS GP "Green Power 2.0": eine neue modulare Lösung vervollständigt das Angebot von Socomec - Critical Power</w:t>
      </w:r>
    </w:p>
    <w:p w14:paraId="63F75732" w14:textId="77777777" w:rsidR="00CA7A4E" w:rsidRPr="00B301E9" w:rsidRDefault="00CA7A4E" w:rsidP="00CA7A4E">
      <w:pPr>
        <w:spacing w:after="120"/>
        <w:rPr>
          <w:color w:val="404040"/>
          <w:sz w:val="22"/>
          <w:szCs w:val="22"/>
          <w:lang w:val="de-DE" w:eastAsia="zh-CN"/>
        </w:rPr>
      </w:pPr>
      <w:r w:rsidRPr="00B301E9">
        <w:rPr>
          <w:color w:val="404040"/>
          <w:sz w:val="22"/>
          <w:szCs w:val="22"/>
          <w:lang w:val="de-DE" w:eastAsia="zh-CN"/>
        </w:rPr>
        <w:t xml:space="preserve">Benfeld, </w:t>
      </w:r>
      <w:r>
        <w:rPr>
          <w:color w:val="404040"/>
          <w:sz w:val="22"/>
          <w:szCs w:val="22"/>
          <w:lang w:val="de-DE" w:eastAsia="zh-CN"/>
        </w:rPr>
        <w:t>08. Januar 2015</w:t>
      </w:r>
    </w:p>
    <w:p w14:paraId="63F75733" w14:textId="77777777" w:rsidR="00CA7A4E" w:rsidRDefault="00CA7A4E" w:rsidP="00BE1800">
      <w:pPr>
        <w:pStyle w:val="NormalWeb"/>
        <w:spacing w:after="120"/>
        <w:rPr>
          <w:rFonts w:ascii="Arial" w:hAnsi="Arial" w:cs="Arial"/>
          <w:b/>
          <w:i/>
          <w:color w:val="404040" w:themeColor="text1" w:themeTint="BF"/>
          <w:sz w:val="22"/>
          <w:szCs w:val="22"/>
          <w:lang w:val="de-DE" w:eastAsia="zh-CN"/>
        </w:rPr>
      </w:pPr>
    </w:p>
    <w:p w14:paraId="63F75734" w14:textId="77777777" w:rsidR="00BE1800" w:rsidRPr="009A08D8" w:rsidRDefault="00BE1800" w:rsidP="00BE1800">
      <w:pPr>
        <w:pStyle w:val="NormalWeb"/>
        <w:spacing w:after="120"/>
        <w:rPr>
          <w:rFonts w:ascii="Arial" w:hAnsi="Arial" w:cs="Arial"/>
          <w:b/>
          <w:i/>
          <w:color w:val="404040" w:themeColor="text1" w:themeTint="BF"/>
          <w:sz w:val="22"/>
          <w:szCs w:val="22"/>
          <w:lang w:val="de-DE" w:eastAsia="zh-CN"/>
        </w:rPr>
      </w:pPr>
      <w:r w:rsidRPr="009A08D8">
        <w:rPr>
          <w:rFonts w:ascii="Arial" w:hAnsi="Arial" w:cs="Arial"/>
          <w:b/>
          <w:i/>
          <w:color w:val="404040" w:themeColor="text1" w:themeTint="BF"/>
          <w:sz w:val="22"/>
          <w:szCs w:val="22"/>
          <w:lang w:val="de-DE" w:eastAsia="zh-CN"/>
        </w:rPr>
        <w:t>Der europäischen Hersteller für sichere Stromversorgungssysteme Socomec, hat seine marktführende Position mit der Markteinführung der neuen MODULYS GreenPower Lösung erneut gestärkt.</w:t>
      </w:r>
    </w:p>
    <w:p w14:paraId="63F75735" w14:textId="77777777" w:rsidR="009A08D8" w:rsidRPr="009A08D8" w:rsidRDefault="009A08D8" w:rsidP="00BE1800">
      <w:pPr>
        <w:pStyle w:val="NormalWeb"/>
        <w:spacing w:after="120"/>
        <w:rPr>
          <w:rFonts w:ascii="Arial" w:hAnsi="Arial" w:cs="Arial"/>
          <w:color w:val="404040" w:themeColor="text1" w:themeTint="BF"/>
          <w:sz w:val="22"/>
          <w:szCs w:val="22"/>
          <w:lang w:val="de-DE" w:eastAsia="zh-CN"/>
        </w:rPr>
      </w:pPr>
    </w:p>
    <w:p w14:paraId="63F75736"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Nach einer gründlichen Analyse der Kundenbedürfnisse und zukunftsorientierter Technologien wurde die Produktfamilie GreenPower 2.0 um diese 100% modulare und vollständig redundante Lösung im Leistungsbereich von 50 bis 600 kW ergänzt. Die MODULYS GreenPower unterbrechungsfreie Stromversorgung (USV) gewährleistet nicht nur ein Höchstmaß an Verfügbarkeit und Skalierbarkeit für kritische IT-Infrastrukturanwendungen, sondern bietet auch den notwendigen Flexibilität für unvorhersehbare Entwicklungen von sicheren Infrastrukturprojekten in der Zukunft.</w:t>
      </w:r>
    </w:p>
    <w:p w14:paraId="63F75737"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p>
    <w:p w14:paraId="63F75738"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Diese neuste Ergänzung des Produkt- und Lösungsportfolio von Socomec orientiert sich an den ständig weiterentwickelnden Anforderungen der Energieeffizienz in modernen IT-Infrastrukturen durch die Konzeption von redundanten USV-Modulen in der Doppelwandlertechnik. Die Installation und Dimensionierung der Energiespeicher als Hot-Swap-Batteriemodule könnte einfacher nicht sein. Die Lösung zeichnet sich durch eine unschlagbare Flexibilität auf den zukünftigen Leistungsbedarf der IT Last aus. MODULYS GP ist das Ergebnis von 20 Jahren Socomec Erfahrung bei der Bereitstellung von modularen USV Lösungen.</w:t>
      </w:r>
    </w:p>
    <w:p w14:paraId="63F75739"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p>
    <w:p w14:paraId="63F7573A"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Auf Basis der Architektur wird ein innovativen "Forever Young" Konzept einbezogen und kombiniert damit ein benutzerfreundliches System mit der raschen Umsetzung der vielen damit verbundenen professionellen Service-Pakete. Wartungsarbeiten können gefahrlos ohne Unterbrechung der kritischen Verbrauer erfolgen. Das System kann auch zu einem beliebigen Zeitpunkt in seinem Lebenszyklus aktualisiert werden.</w:t>
      </w:r>
    </w:p>
    <w:p w14:paraId="63F7573B"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p>
    <w:p w14:paraId="63F7573C"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MODULYS GP integriert alle technologischen Merkmale und Entwicklungen der Socomec GreenPower 2.0 Baureihe. Hierzu gehören vor allem die Störelimination nach der Produktnorm VFI, der einheitliche Leistungsfaktor am Ausgang und die höchste derzeit am Markt gebotene Leistungsdichte. Das GP System unterstützt seine Benchmark Position sowohl im Hinblick auf den geringen Platzbedarf und die erreichte Energieeinsparungen.</w:t>
      </w:r>
    </w:p>
    <w:p w14:paraId="63F7573D" w14:textId="77777777" w:rsidR="009A08D8" w:rsidRPr="009A08D8" w:rsidRDefault="009A08D8" w:rsidP="00BE1800">
      <w:pPr>
        <w:pStyle w:val="NormalWeb"/>
        <w:spacing w:after="120"/>
        <w:rPr>
          <w:rFonts w:ascii="Arial" w:hAnsi="Arial" w:cs="Arial"/>
          <w:color w:val="404040" w:themeColor="text1" w:themeTint="BF"/>
          <w:sz w:val="22"/>
          <w:szCs w:val="22"/>
          <w:lang w:val="de-DE" w:eastAsia="zh-CN"/>
        </w:rPr>
      </w:pPr>
    </w:p>
    <w:p w14:paraId="63F7573E" w14:textId="77777777" w:rsidR="00287CAA"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Das neue MODULYS GreenPower USV System wurde entwickelt von einem Socomec Kompetenzcenter in Italien und profitiert ebenfalls von den neuesten Fortschritten in den Socomec Produktions- und Fertigungsprozessen.</w:t>
      </w:r>
    </w:p>
    <w:p w14:paraId="63F7573F"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Das Design und die Entwicklung des Systems korrespondiert mit dem EU-Verhaltenskodex (CoC) um den Energieverbrach und die Kohlendioxidemissionen in Rechenzentren zu verringern.</w:t>
      </w:r>
    </w:p>
    <w:p w14:paraId="63F75740"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lastRenderedPageBreak/>
        <w:t>Zertifizierung und Überprüfungen:</w:t>
      </w:r>
    </w:p>
    <w:p w14:paraId="63F75741" w14:textId="77777777" w:rsidR="00BE1800" w:rsidRPr="009A08D8" w:rsidRDefault="00BE1800" w:rsidP="00E20470">
      <w:pPr>
        <w:pStyle w:val="NormalWeb"/>
        <w:numPr>
          <w:ilvl w:val="0"/>
          <w:numId w:val="8"/>
        </w:numPr>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Die Leistungs- und Ausgangsdaten der MODULYS GP wurden seitens Socomec geprüft und von einer unabhängigen Stelle bestätigt.</w:t>
      </w:r>
    </w:p>
    <w:p w14:paraId="63F75742" w14:textId="77777777" w:rsidR="00BE1800" w:rsidRPr="009A08D8" w:rsidRDefault="00BE1800" w:rsidP="00E20470">
      <w:pPr>
        <w:pStyle w:val="NormalWeb"/>
        <w:numPr>
          <w:ilvl w:val="0"/>
          <w:numId w:val="8"/>
        </w:numPr>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Als erste USV auf dem Markt, wurden die MTBF - Werte der Leistungsmodule als marktführend durch eine unabhängige Stelle nach der IEC 62380 zertifiziert.</w:t>
      </w:r>
    </w:p>
    <w:p w14:paraId="63F75743" w14:textId="77777777" w:rsidR="00BE1800" w:rsidRPr="009A08D8" w:rsidRDefault="00BE1800" w:rsidP="00E20470">
      <w:pPr>
        <w:pStyle w:val="NormalWeb"/>
        <w:numPr>
          <w:ilvl w:val="0"/>
          <w:numId w:val="8"/>
        </w:numPr>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Die Produktionsstätte sind ISO 9001: 2008 und ISO 14000: 2004 zertifiziert.</w:t>
      </w:r>
    </w:p>
    <w:p w14:paraId="63F75744" w14:textId="77777777" w:rsidR="00BE1800" w:rsidRPr="009A08D8" w:rsidRDefault="00BE1800" w:rsidP="00BE1800">
      <w:pPr>
        <w:pStyle w:val="NormalWeb"/>
        <w:spacing w:after="120"/>
        <w:rPr>
          <w:rFonts w:ascii="Arial" w:hAnsi="Arial" w:cs="Arial"/>
          <w:color w:val="404040" w:themeColor="text1" w:themeTint="BF"/>
          <w:sz w:val="22"/>
          <w:szCs w:val="22"/>
          <w:lang w:val="de-DE" w:eastAsia="zh-CN"/>
        </w:rPr>
      </w:pPr>
    </w:p>
    <w:p w14:paraId="63F75745" w14:textId="77777777" w:rsidR="004C209A"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Wichtige Fakten:</w:t>
      </w:r>
    </w:p>
    <w:p w14:paraId="63F75746" w14:textId="77777777" w:rsidR="00BE1800" w:rsidRPr="009A08D8" w:rsidRDefault="004C209A"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 xml:space="preserve">- </w:t>
      </w:r>
      <w:r w:rsidR="00BE1800" w:rsidRPr="009A08D8">
        <w:rPr>
          <w:rFonts w:ascii="Arial" w:hAnsi="Arial" w:cs="Arial"/>
          <w:color w:val="404040" w:themeColor="text1" w:themeTint="BF"/>
          <w:sz w:val="22"/>
          <w:szCs w:val="22"/>
          <w:lang w:val="de-DE" w:eastAsia="zh-CN"/>
        </w:rPr>
        <w:t>100%-ige Modularität und 100% redundante USV, 100% SOCOMEC und 100% Europäisch</w:t>
      </w:r>
    </w:p>
    <w:p w14:paraId="63F75747" w14:textId="77777777" w:rsidR="00BE1800" w:rsidRPr="009A08D8" w:rsidRDefault="00BE1800" w:rsidP="00BE1800">
      <w:pPr>
        <w:pStyle w:val="NormalWeb"/>
        <w:spacing w:after="120"/>
        <w:rPr>
          <w:rFonts w:ascii="Arial" w:hAnsi="Arial" w:cs="Arial"/>
          <w:color w:val="404040" w:themeColor="text1" w:themeTint="BF"/>
          <w:sz w:val="22"/>
          <w:szCs w:val="22"/>
          <w:lang w:val="en-GB" w:eastAsia="zh-CN"/>
        </w:rPr>
      </w:pPr>
      <w:r w:rsidRPr="009A08D8">
        <w:rPr>
          <w:rFonts w:ascii="Arial" w:hAnsi="Arial" w:cs="Arial"/>
          <w:color w:val="404040" w:themeColor="text1" w:themeTint="BF"/>
          <w:sz w:val="22"/>
          <w:szCs w:val="22"/>
          <w:lang w:val="en-GB" w:eastAsia="zh-CN"/>
        </w:rPr>
        <w:t>- Design ohne Single Point of Failure</w:t>
      </w:r>
    </w:p>
    <w:p w14:paraId="63F75748" w14:textId="77777777" w:rsidR="004C209A" w:rsidRPr="009A08D8" w:rsidRDefault="00BE1800" w:rsidP="00BE1800">
      <w:pPr>
        <w:pStyle w:val="NormalWeb"/>
        <w:spacing w:after="120"/>
        <w:rPr>
          <w:rFonts w:ascii="Arial" w:hAnsi="Arial" w:cs="Arial"/>
          <w:color w:val="404040" w:themeColor="text1" w:themeTint="BF"/>
          <w:sz w:val="22"/>
          <w:szCs w:val="22"/>
          <w:lang w:val="de-DE" w:eastAsia="zh-CN"/>
        </w:rPr>
      </w:pPr>
      <w:r w:rsidRPr="009A08D8">
        <w:rPr>
          <w:rFonts w:ascii="Arial" w:hAnsi="Arial" w:cs="Arial"/>
          <w:color w:val="404040" w:themeColor="text1" w:themeTint="BF"/>
          <w:sz w:val="22"/>
          <w:szCs w:val="22"/>
          <w:lang w:val="de-DE" w:eastAsia="zh-CN"/>
        </w:rPr>
        <w:t>- die höchste System-Flexibilität und Skalierbarkeit während der Nutzungsdauer der IT</w:t>
      </w:r>
    </w:p>
    <w:p w14:paraId="63F75749" w14:textId="77777777" w:rsidR="00D772F6" w:rsidRPr="009A08D8" w:rsidRDefault="00BE1800" w:rsidP="00BE1800">
      <w:pPr>
        <w:pStyle w:val="NormalWeb"/>
        <w:spacing w:after="120"/>
        <w:rPr>
          <w:rFonts w:ascii="Arial" w:hAnsi="Arial" w:cs="Arial"/>
          <w:b/>
          <w:color w:val="404040" w:themeColor="text1" w:themeTint="BF"/>
          <w:sz w:val="22"/>
          <w:szCs w:val="22"/>
          <w:lang w:val="de-DE"/>
        </w:rPr>
      </w:pPr>
      <w:r w:rsidRPr="009A08D8">
        <w:rPr>
          <w:rFonts w:ascii="Arial" w:hAnsi="Arial" w:cs="Arial"/>
          <w:color w:val="404040" w:themeColor="text1" w:themeTint="BF"/>
          <w:sz w:val="22"/>
          <w:szCs w:val="22"/>
          <w:lang w:val="de-DE" w:eastAsia="zh-CN"/>
        </w:rPr>
        <w:t>-</w:t>
      </w:r>
      <w:r w:rsidR="004C209A" w:rsidRPr="009A08D8">
        <w:rPr>
          <w:rFonts w:ascii="Arial" w:hAnsi="Arial" w:cs="Arial"/>
          <w:color w:val="404040" w:themeColor="text1" w:themeTint="BF"/>
          <w:sz w:val="22"/>
          <w:szCs w:val="22"/>
          <w:lang w:val="de-DE" w:eastAsia="zh-CN"/>
        </w:rPr>
        <w:t xml:space="preserve"> </w:t>
      </w:r>
      <w:r w:rsidRPr="009A08D8">
        <w:rPr>
          <w:rFonts w:ascii="Arial" w:hAnsi="Arial" w:cs="Arial"/>
          <w:color w:val="404040" w:themeColor="text1" w:themeTint="BF"/>
          <w:sz w:val="22"/>
          <w:szCs w:val="22"/>
          <w:lang w:val="de-DE" w:eastAsia="zh-CN"/>
        </w:rPr>
        <w:t>Infrastruktur ist durch das Konzept gewährleistet</w:t>
      </w:r>
    </w:p>
    <w:p w14:paraId="63F7574A" w14:textId="77777777" w:rsidR="00D772F6" w:rsidRPr="009A08D8" w:rsidRDefault="006A7828" w:rsidP="00D772F6">
      <w:pPr>
        <w:pStyle w:val="NormalWeb"/>
        <w:spacing w:after="120"/>
        <w:rPr>
          <w:rFonts w:ascii="Arial" w:hAnsi="Arial" w:cs="Arial"/>
          <w:b/>
          <w:color w:val="404040" w:themeColor="text1" w:themeTint="BF"/>
          <w:sz w:val="22"/>
          <w:szCs w:val="22"/>
          <w:lang w:val="en-US"/>
        </w:rPr>
      </w:pPr>
      <w:r w:rsidRPr="009A08D8">
        <w:rPr>
          <w:rFonts w:ascii="Arial" w:hAnsi="Arial" w:cs="Arial"/>
          <w:b/>
          <w:color w:val="404040" w:themeColor="text1" w:themeTint="BF"/>
          <w:sz w:val="22"/>
          <w:szCs w:val="22"/>
          <w:lang w:val="en-US"/>
        </w:rPr>
        <w:t>Photo</w:t>
      </w:r>
    </w:p>
    <w:p w14:paraId="63F7574B" w14:textId="77777777" w:rsidR="00645D97" w:rsidRPr="009A08D8" w:rsidRDefault="007E0D04" w:rsidP="00D772F6">
      <w:pPr>
        <w:pStyle w:val="NormalWeb"/>
        <w:spacing w:after="120"/>
        <w:rPr>
          <w:rFonts w:ascii="Arial" w:hAnsi="Arial" w:cs="Arial"/>
          <w:b/>
          <w:color w:val="404040" w:themeColor="text1" w:themeTint="BF"/>
          <w:sz w:val="22"/>
          <w:szCs w:val="22"/>
          <w:lang w:val="en-US"/>
        </w:rPr>
      </w:pPr>
      <w:r w:rsidRPr="009A08D8">
        <w:rPr>
          <w:color w:val="404040" w:themeColor="text1" w:themeTint="BF"/>
          <w:lang w:val="en-US" w:eastAsia="en-US"/>
        </w:rPr>
        <w:drawing>
          <wp:inline distT="0" distB="0" distL="0" distR="0" wp14:anchorId="63F7575F" wp14:editId="63F75760">
            <wp:extent cx="1000538" cy="2691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3195" cy="2698589"/>
                    </a:xfrm>
                    <a:prstGeom prst="rect">
                      <a:avLst/>
                    </a:prstGeom>
                    <a:noFill/>
                    <a:ln w="9525">
                      <a:noFill/>
                      <a:miter lim="800000"/>
                      <a:headEnd/>
                      <a:tailEnd/>
                    </a:ln>
                  </pic:spPr>
                </pic:pic>
              </a:graphicData>
            </a:graphic>
          </wp:inline>
        </w:drawing>
      </w:r>
      <w:r w:rsidR="00037006" w:rsidRPr="009A08D8">
        <w:rPr>
          <w:color w:val="404040" w:themeColor="text1" w:themeTint="BF"/>
          <w:lang w:val="en-US"/>
        </w:rPr>
        <w:t xml:space="preserve"> </w:t>
      </w:r>
    </w:p>
    <w:p w14:paraId="63F7574C" w14:textId="77777777" w:rsidR="002F62BD" w:rsidRPr="00B301E9" w:rsidRDefault="002F62BD" w:rsidP="002F62BD">
      <w:pPr>
        <w:tabs>
          <w:tab w:val="left" w:pos="2100"/>
        </w:tabs>
        <w:jc w:val="both"/>
        <w:rPr>
          <w:rStyle w:val="hps"/>
          <w:rFonts w:eastAsia="Calibri"/>
          <w:color w:val="333333"/>
          <w:sz w:val="18"/>
          <w:szCs w:val="18"/>
          <w:lang w:val="de-DE"/>
        </w:rPr>
      </w:pPr>
      <w:r w:rsidRPr="00B301E9">
        <w:rPr>
          <w:rStyle w:val="hps"/>
          <w:rFonts w:eastAsia="Calibri"/>
          <w:color w:val="333333"/>
          <w:sz w:val="18"/>
          <w:szCs w:val="18"/>
          <w:lang w:val="de-DE"/>
        </w:rPr>
        <w:t xml:space="preserve">Version HD </w:t>
      </w:r>
      <w:r>
        <w:rPr>
          <w:rStyle w:val="hps"/>
          <w:rFonts w:eastAsia="Calibri"/>
          <w:color w:val="333333"/>
          <w:sz w:val="18"/>
          <w:szCs w:val="18"/>
          <w:lang w:val="de-DE"/>
        </w:rPr>
        <w:t>des Fotos</w:t>
      </w:r>
      <w:r w:rsidRPr="00B301E9">
        <w:rPr>
          <w:rStyle w:val="hps"/>
          <w:rFonts w:eastAsia="Calibri"/>
          <w:color w:val="333333"/>
          <w:sz w:val="18"/>
          <w:szCs w:val="18"/>
          <w:lang w:val="de-DE"/>
        </w:rPr>
        <w:t xml:space="preserve">: </w:t>
      </w:r>
      <w:hyperlink r:id="rId10" w:history="1">
        <w:r>
          <w:rPr>
            <w:rStyle w:val="Lienhypertexte"/>
            <w:rFonts w:eastAsia="Calibri"/>
            <w:sz w:val="18"/>
            <w:szCs w:val="18"/>
            <w:lang w:val="de-DE"/>
          </w:rPr>
          <w:t>hier klicken</w:t>
        </w:r>
        <w:r w:rsidRPr="00B301E9">
          <w:rPr>
            <w:rStyle w:val="Lienhypertexte"/>
            <w:rFonts w:eastAsia="Calibri"/>
            <w:sz w:val="18"/>
            <w:szCs w:val="18"/>
            <w:lang w:val="de-DE"/>
          </w:rPr>
          <w:t xml:space="preserve"> </w:t>
        </w:r>
      </w:hyperlink>
    </w:p>
    <w:tbl>
      <w:tblPr>
        <w:tblW w:w="9180" w:type="dxa"/>
        <w:tblLook w:val="04A0" w:firstRow="1" w:lastRow="0" w:firstColumn="1" w:lastColumn="0" w:noHBand="0" w:noVBand="1"/>
      </w:tblPr>
      <w:tblGrid>
        <w:gridCol w:w="4503"/>
        <w:gridCol w:w="425"/>
        <w:gridCol w:w="4252"/>
      </w:tblGrid>
      <w:tr w:rsidR="00137FDF" w:rsidRPr="00372927" w14:paraId="63F7574E" w14:textId="77777777" w:rsidTr="004176FD">
        <w:tc>
          <w:tcPr>
            <w:tcW w:w="9180" w:type="dxa"/>
            <w:gridSpan w:val="3"/>
            <w:tcBorders>
              <w:bottom w:val="single" w:sz="2" w:space="0" w:color="003C8A"/>
            </w:tcBorders>
            <w:shd w:val="clear" w:color="auto" w:fill="auto"/>
            <w:vAlign w:val="center"/>
          </w:tcPr>
          <w:p w14:paraId="63F7574D" w14:textId="77777777" w:rsidR="00137FDF" w:rsidRPr="002F62BD" w:rsidRDefault="00137FDF" w:rsidP="004176FD">
            <w:pPr>
              <w:spacing w:after="120"/>
              <w:rPr>
                <w:b/>
                <w:bCs/>
                <w:sz w:val="22"/>
                <w:szCs w:val="22"/>
                <w:lang w:val="de-DE"/>
              </w:rPr>
            </w:pPr>
          </w:p>
        </w:tc>
      </w:tr>
      <w:tr w:rsidR="00287CAA" w:rsidRPr="009D4E0E" w14:paraId="63F75752" w14:textId="77777777" w:rsidTr="004176FD">
        <w:tc>
          <w:tcPr>
            <w:tcW w:w="4503" w:type="dxa"/>
            <w:tcBorders>
              <w:top w:val="single" w:sz="2" w:space="0" w:color="003C8A"/>
            </w:tcBorders>
            <w:shd w:val="clear" w:color="auto" w:fill="auto"/>
          </w:tcPr>
          <w:p w14:paraId="63F7574F" w14:textId="77777777" w:rsidR="00287CAA" w:rsidRPr="00B301E9" w:rsidRDefault="00287CAA" w:rsidP="00820A85">
            <w:pPr>
              <w:spacing w:before="120" w:after="120"/>
              <w:jc w:val="both"/>
              <w:rPr>
                <w:b/>
                <w:bCs/>
                <w:color w:val="003C8A"/>
                <w:sz w:val="21"/>
                <w:szCs w:val="21"/>
                <w:lang w:val="de-DE"/>
              </w:rPr>
            </w:pPr>
            <w:r>
              <w:rPr>
                <w:b/>
                <w:bCs/>
                <w:color w:val="003C8A"/>
                <w:sz w:val="21"/>
                <w:szCs w:val="21"/>
                <w:lang w:val="de-DE"/>
              </w:rPr>
              <w:t>ÜBER</w:t>
            </w:r>
            <w:r w:rsidRPr="00B301E9">
              <w:rPr>
                <w:b/>
                <w:bCs/>
                <w:color w:val="003C8A"/>
                <w:sz w:val="21"/>
                <w:szCs w:val="21"/>
                <w:lang w:val="de-DE"/>
              </w:rPr>
              <w:t xml:space="preserve"> SOCOMEC</w:t>
            </w:r>
          </w:p>
        </w:tc>
        <w:tc>
          <w:tcPr>
            <w:tcW w:w="425" w:type="dxa"/>
            <w:tcBorders>
              <w:top w:val="single" w:sz="2" w:space="0" w:color="003C8A"/>
            </w:tcBorders>
            <w:shd w:val="clear" w:color="auto" w:fill="auto"/>
          </w:tcPr>
          <w:p w14:paraId="63F75750" w14:textId="77777777" w:rsidR="00287CAA" w:rsidRPr="00B301E9" w:rsidRDefault="00287CAA" w:rsidP="00820A85">
            <w:pPr>
              <w:spacing w:before="120" w:after="120"/>
              <w:jc w:val="both"/>
              <w:rPr>
                <w:b/>
                <w:bCs/>
                <w:color w:val="003C8A"/>
                <w:sz w:val="21"/>
                <w:szCs w:val="21"/>
                <w:lang w:val="de-DE"/>
              </w:rPr>
            </w:pPr>
          </w:p>
        </w:tc>
        <w:tc>
          <w:tcPr>
            <w:tcW w:w="4252" w:type="dxa"/>
            <w:tcBorders>
              <w:top w:val="single" w:sz="2" w:space="0" w:color="003C8A"/>
            </w:tcBorders>
            <w:shd w:val="clear" w:color="auto" w:fill="auto"/>
          </w:tcPr>
          <w:p w14:paraId="63F75751" w14:textId="77777777" w:rsidR="00287CAA" w:rsidRPr="00B301E9" w:rsidRDefault="00287CAA" w:rsidP="00820A85">
            <w:pPr>
              <w:spacing w:before="120" w:after="120"/>
              <w:jc w:val="both"/>
              <w:rPr>
                <w:b/>
                <w:bCs/>
                <w:color w:val="003C8A"/>
                <w:sz w:val="21"/>
                <w:szCs w:val="21"/>
                <w:lang w:val="de-DE"/>
              </w:rPr>
            </w:pPr>
            <w:r>
              <w:rPr>
                <w:b/>
                <w:bCs/>
                <w:color w:val="003C8A"/>
                <w:sz w:val="21"/>
                <w:szCs w:val="21"/>
                <w:lang w:val="de-DE"/>
              </w:rPr>
              <w:t>WEITERE AUSKÜNFTE</w:t>
            </w:r>
          </w:p>
        </w:tc>
      </w:tr>
      <w:tr w:rsidR="00287CAA" w:rsidRPr="009D4E0E" w14:paraId="63F7575D" w14:textId="77777777" w:rsidTr="004176FD">
        <w:trPr>
          <w:trHeight w:val="1546"/>
        </w:trPr>
        <w:tc>
          <w:tcPr>
            <w:tcW w:w="4503" w:type="dxa"/>
            <w:shd w:val="clear" w:color="auto" w:fill="auto"/>
          </w:tcPr>
          <w:p w14:paraId="63F75753" w14:textId="6FF615BA" w:rsidR="00287CAA" w:rsidRDefault="00287CAA" w:rsidP="00820A85">
            <w:pPr>
              <w:autoSpaceDE w:val="0"/>
              <w:autoSpaceDN w:val="0"/>
              <w:jc w:val="both"/>
              <w:rPr>
                <w:color w:val="003C8A"/>
                <w:sz w:val="15"/>
                <w:szCs w:val="15"/>
                <w:lang w:val="de-DE"/>
              </w:rPr>
            </w:pPr>
            <w:r>
              <w:rPr>
                <w:color w:val="003C8A"/>
                <w:sz w:val="15"/>
                <w:szCs w:val="15"/>
                <w:lang w:val="de-DE"/>
              </w:rPr>
              <w:t>SOCOMEC wurde 1922 gegründet und ist eine unabhängige Industriegruppe mit mehr als 3000 Mitarbeitern und 21 Tochtergesellschaften weltweit. Unsere Spezialgebiete sind die die Überwachung und Sicherheit von Niederspannungsnetzen sowie die ständige Verfügbarkeit. Wir unterstützen unsere Kunden kontinuierlich beim Energiesparen. 201</w:t>
            </w:r>
            <w:r w:rsidR="00372927">
              <w:rPr>
                <w:color w:val="003C8A"/>
                <w:sz w:val="15"/>
                <w:szCs w:val="15"/>
                <w:lang w:val="de-DE"/>
              </w:rPr>
              <w:t>4</w:t>
            </w:r>
            <w:r>
              <w:rPr>
                <w:color w:val="003C8A"/>
                <w:sz w:val="15"/>
                <w:szCs w:val="15"/>
                <w:lang w:val="de-DE"/>
              </w:rPr>
              <w:t xml:space="preserve"> </w:t>
            </w:r>
            <w:r w:rsidR="00372927">
              <w:rPr>
                <w:color w:val="003C8A"/>
                <w:sz w:val="15"/>
                <w:szCs w:val="15"/>
                <w:lang w:val="de-DE"/>
              </w:rPr>
              <w:t>hat SOCOMEC einen Umsatz von 427</w:t>
            </w:r>
            <w:bookmarkStart w:id="0" w:name="_GoBack"/>
            <w:bookmarkEnd w:id="0"/>
            <w:r>
              <w:rPr>
                <w:color w:val="003C8A"/>
                <w:sz w:val="15"/>
                <w:szCs w:val="15"/>
                <w:lang w:val="de-DE"/>
              </w:rPr>
              <w:t xml:space="preserve"> Millionen Euro realisiert.</w:t>
            </w:r>
          </w:p>
          <w:p w14:paraId="63F75754" w14:textId="77777777" w:rsidR="00287CAA" w:rsidRPr="00B301E9" w:rsidRDefault="00287CAA" w:rsidP="00820A85">
            <w:pPr>
              <w:autoSpaceDE w:val="0"/>
              <w:autoSpaceDN w:val="0"/>
              <w:rPr>
                <w:color w:val="003C8A"/>
                <w:sz w:val="15"/>
                <w:szCs w:val="15"/>
                <w:lang w:val="de-DE"/>
              </w:rPr>
            </w:pPr>
          </w:p>
          <w:p w14:paraId="63F75755" w14:textId="77777777" w:rsidR="00287CAA" w:rsidRPr="00B301E9" w:rsidRDefault="00372927" w:rsidP="00820A85">
            <w:pPr>
              <w:autoSpaceDE w:val="0"/>
              <w:autoSpaceDN w:val="0"/>
              <w:rPr>
                <w:color w:val="003C8A"/>
                <w:sz w:val="15"/>
                <w:szCs w:val="15"/>
                <w:lang w:val="de-DE"/>
              </w:rPr>
            </w:pPr>
            <w:r>
              <w:rPr>
                <w:color w:val="000000"/>
                <w:sz w:val="15"/>
                <w:szCs w:val="15"/>
                <w:lang w:val="de-DE"/>
              </w:rPr>
              <w:pict w14:anchorId="63F75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i1025" type="#_x0000_t75" alt="Description : Description : \\Fru1fic2\fru1scocom\Dossiers de travail Communauté\e mailing\TOOLBOX\picto_CP.png" style="width:28.55pt;height:28.55pt;visibility:visible">
                  <v:imagedata r:id="rId11" o:title="picto_CP"/>
                </v:shape>
              </w:pict>
            </w:r>
            <w:r w:rsidR="00287CAA" w:rsidRPr="00B301E9">
              <w:rPr>
                <w:color w:val="003C8A"/>
                <w:sz w:val="15"/>
                <w:szCs w:val="15"/>
                <w:lang w:val="de-DE"/>
              </w:rPr>
              <w:t xml:space="preserve"> </w:t>
            </w:r>
            <w:r w:rsidR="00287CAA" w:rsidRPr="00B301E9">
              <w:rPr>
                <w:color w:val="000000"/>
                <w:sz w:val="15"/>
                <w:szCs w:val="15"/>
                <w:lang w:val="de-DE"/>
              </w:rPr>
              <w:t xml:space="preserve"> </w:t>
            </w:r>
            <w:r>
              <w:rPr>
                <w:color w:val="000000"/>
                <w:sz w:val="15"/>
                <w:szCs w:val="15"/>
                <w:lang w:val="de-DE"/>
              </w:rPr>
              <w:pict w14:anchorId="63F75762">
                <v:shape id="Image 19" o:spid="_x0000_i1026" type="#_x0000_t75" alt="Description : Description : \\Fru1fic2\fru1scocom\Dossiers de travail Communauté\e mailing\TOOLBOX\picto_PCS.png" style="width:28.55pt;height:28.55pt;visibility:visible">
                  <v:imagedata r:id="rId12" o:title="picto_PCS"/>
                </v:shape>
              </w:pict>
            </w:r>
            <w:r w:rsidR="00287CAA" w:rsidRPr="00B301E9">
              <w:rPr>
                <w:color w:val="000000"/>
                <w:sz w:val="15"/>
                <w:szCs w:val="15"/>
                <w:lang w:val="de-DE"/>
              </w:rPr>
              <w:t xml:space="preserve"> </w:t>
            </w:r>
            <w:r w:rsidR="00287CAA" w:rsidRPr="00B301E9">
              <w:rPr>
                <w:color w:val="003C8A"/>
                <w:sz w:val="15"/>
                <w:szCs w:val="15"/>
                <w:lang w:val="de-DE"/>
              </w:rPr>
              <w:t xml:space="preserve"> </w:t>
            </w:r>
            <w:r>
              <w:rPr>
                <w:color w:val="000000"/>
                <w:sz w:val="15"/>
                <w:szCs w:val="15"/>
                <w:lang w:val="de-DE"/>
              </w:rPr>
              <w:pict w14:anchorId="63F75763">
                <v:shape id="Image 24" o:spid="_x0000_i1027" type="#_x0000_t75" alt="Description : Description : \\Fru1fic2\fru1scocom\Dossiers de travail Communauté\e mailing\TOOLBOX\picto_SP.png" style="width:28.55pt;height:28.55pt;visibility:visible">
                  <v:imagedata r:id="rId13" o:title="picto_SP"/>
                </v:shape>
              </w:pict>
            </w:r>
            <w:r w:rsidR="00287CAA" w:rsidRPr="00B301E9">
              <w:rPr>
                <w:color w:val="003C8A"/>
                <w:sz w:val="15"/>
                <w:szCs w:val="15"/>
                <w:lang w:val="de-DE"/>
              </w:rPr>
              <w:t xml:space="preserve">  </w:t>
            </w:r>
            <w:r>
              <w:rPr>
                <w:color w:val="000000"/>
                <w:sz w:val="15"/>
                <w:szCs w:val="15"/>
                <w:lang w:val="de-DE"/>
              </w:rPr>
              <w:pict w14:anchorId="63F75764">
                <v:shape id="Image 25" o:spid="_x0000_i1028" type="#_x0000_t75" alt="Description : Description : \\Fru1fic2\fru1scocom\Dossiers de travail Communauté\e mailing\TOOLBOX\picto_EE.png" style="width:28.55pt;height:28.55pt;visibility:visible">
                  <v:imagedata r:id="rId14" o:title="picto_EE"/>
                </v:shape>
              </w:pict>
            </w:r>
          </w:p>
        </w:tc>
        <w:tc>
          <w:tcPr>
            <w:tcW w:w="425" w:type="dxa"/>
            <w:shd w:val="clear" w:color="auto" w:fill="auto"/>
          </w:tcPr>
          <w:p w14:paraId="63F75756" w14:textId="77777777" w:rsidR="00287CAA" w:rsidRPr="00B301E9" w:rsidRDefault="00287CAA" w:rsidP="00820A85">
            <w:pPr>
              <w:jc w:val="both"/>
              <w:rPr>
                <w:color w:val="003C8A"/>
                <w:sz w:val="15"/>
                <w:szCs w:val="15"/>
                <w:lang w:val="de-DE"/>
              </w:rPr>
            </w:pPr>
          </w:p>
        </w:tc>
        <w:tc>
          <w:tcPr>
            <w:tcW w:w="4252" w:type="dxa"/>
            <w:shd w:val="clear" w:color="auto" w:fill="auto"/>
          </w:tcPr>
          <w:p w14:paraId="5C9BEE49" w14:textId="77777777" w:rsidR="00372927" w:rsidRDefault="00372927" w:rsidP="00372927">
            <w:pPr>
              <w:jc w:val="both"/>
              <w:rPr>
                <w:color w:val="003C8A"/>
                <w:sz w:val="15"/>
                <w:szCs w:val="15"/>
                <w:lang w:val="de-DE"/>
              </w:rPr>
            </w:pPr>
            <w:r>
              <w:rPr>
                <w:color w:val="003C8A"/>
                <w:sz w:val="15"/>
                <w:szCs w:val="15"/>
                <w:lang w:val="de-DE"/>
              </w:rPr>
              <w:t>Pressekontakt: Steffen Breiter</w:t>
            </w:r>
          </w:p>
          <w:p w14:paraId="6511460D" w14:textId="77777777" w:rsidR="00372927" w:rsidRDefault="00372927" w:rsidP="00372927">
            <w:pPr>
              <w:jc w:val="both"/>
              <w:rPr>
                <w:color w:val="003C8A"/>
                <w:sz w:val="15"/>
                <w:szCs w:val="15"/>
                <w:lang w:val="de-DE"/>
              </w:rPr>
            </w:pPr>
            <w:r>
              <w:rPr>
                <w:color w:val="003C8A"/>
                <w:sz w:val="15"/>
                <w:szCs w:val="15"/>
                <w:lang w:val="de-DE"/>
              </w:rPr>
              <w:t>Marketing Manager Germany</w:t>
            </w:r>
          </w:p>
          <w:p w14:paraId="62B95143" w14:textId="77777777" w:rsidR="00372927" w:rsidRDefault="00372927" w:rsidP="00372927">
            <w:pPr>
              <w:jc w:val="both"/>
              <w:rPr>
                <w:color w:val="003C8A"/>
                <w:sz w:val="15"/>
                <w:szCs w:val="15"/>
                <w:lang w:val="de-DE"/>
              </w:rPr>
            </w:pPr>
            <w:r>
              <w:rPr>
                <w:color w:val="003C8A"/>
                <w:sz w:val="15"/>
                <w:szCs w:val="15"/>
                <w:lang w:val="de-DE"/>
              </w:rPr>
              <w:t>Tel. : +49 (0) 621 716 84 47</w:t>
            </w:r>
          </w:p>
          <w:p w14:paraId="7A6F70CC" w14:textId="77777777" w:rsidR="00372927" w:rsidRDefault="00372927" w:rsidP="00372927">
            <w:pPr>
              <w:jc w:val="both"/>
              <w:rPr>
                <w:color w:val="003C8A"/>
                <w:sz w:val="15"/>
                <w:szCs w:val="15"/>
                <w:lang w:val="de-DE"/>
              </w:rPr>
            </w:pPr>
            <w:r>
              <w:rPr>
                <w:color w:val="003C8A"/>
                <w:sz w:val="15"/>
                <w:szCs w:val="15"/>
                <w:lang w:val="de-DE"/>
              </w:rPr>
              <w:t xml:space="preserve">E-Mail: </w:t>
            </w:r>
            <w:hyperlink r:id="rId15" w:history="1">
              <w:r>
                <w:rPr>
                  <w:rStyle w:val="Lienhypertexte"/>
                  <w:sz w:val="15"/>
                  <w:szCs w:val="15"/>
                  <w:lang w:val="de-DE"/>
                </w:rPr>
                <w:t>steffen.breiter@socomec.com</w:t>
              </w:r>
            </w:hyperlink>
          </w:p>
          <w:p w14:paraId="63F7575A" w14:textId="76EC26DD" w:rsidR="00287CAA" w:rsidRDefault="00287CAA" w:rsidP="00820A85">
            <w:pPr>
              <w:jc w:val="both"/>
              <w:rPr>
                <w:color w:val="003C8A"/>
                <w:sz w:val="15"/>
                <w:szCs w:val="15"/>
                <w:lang w:val="de-DE"/>
              </w:rPr>
            </w:pPr>
          </w:p>
          <w:p w14:paraId="63F7575B" w14:textId="77777777" w:rsidR="00287CAA" w:rsidRPr="00B301E9" w:rsidRDefault="00287CAA" w:rsidP="00820A85">
            <w:pPr>
              <w:jc w:val="both"/>
              <w:rPr>
                <w:color w:val="7F7F7F"/>
                <w:sz w:val="15"/>
                <w:szCs w:val="15"/>
                <w:lang w:val="de-DE"/>
              </w:rPr>
            </w:pPr>
          </w:p>
          <w:p w14:paraId="63F7575C" w14:textId="77777777" w:rsidR="00287CAA" w:rsidRPr="00B301E9" w:rsidRDefault="00372927" w:rsidP="00820A85">
            <w:pPr>
              <w:jc w:val="both"/>
              <w:rPr>
                <w:color w:val="003C8A"/>
                <w:sz w:val="15"/>
                <w:szCs w:val="15"/>
                <w:lang w:val="de-DE"/>
              </w:rPr>
            </w:pPr>
            <w:hyperlink r:id="rId16" w:history="1">
              <w:r w:rsidR="00287CAA" w:rsidRPr="00B301E9">
                <w:rPr>
                  <w:rStyle w:val="Lienhypertexte"/>
                  <w:sz w:val="15"/>
                  <w:szCs w:val="15"/>
                  <w:lang w:val="de-DE"/>
                </w:rPr>
                <w:t>www.socomec.com</w:t>
              </w:r>
            </w:hyperlink>
          </w:p>
        </w:tc>
      </w:tr>
    </w:tbl>
    <w:p w14:paraId="63F7575E" w14:textId="77777777" w:rsidR="001B46AB" w:rsidRPr="009D4E0E" w:rsidRDefault="001B46AB" w:rsidP="001B46AB">
      <w:pPr>
        <w:tabs>
          <w:tab w:val="left" w:pos="3045"/>
        </w:tabs>
        <w:spacing w:after="120"/>
      </w:pPr>
    </w:p>
    <w:sectPr w:rsidR="001B46AB" w:rsidRPr="009D4E0E" w:rsidSect="001B46A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75767" w14:textId="77777777" w:rsidR="001B59DE" w:rsidRDefault="001B59DE" w:rsidP="001B46AB">
      <w:r>
        <w:separator/>
      </w:r>
    </w:p>
  </w:endnote>
  <w:endnote w:type="continuationSeparator" w:id="0">
    <w:p w14:paraId="63F75768" w14:textId="77777777" w:rsidR="001B59DE" w:rsidRDefault="001B59DE"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576D" w14:textId="77777777" w:rsidR="00E52A8B" w:rsidRPr="00157BD7" w:rsidRDefault="00E52A8B" w:rsidP="001B46AB">
    <w:pPr>
      <w:jc w:val="right"/>
    </w:pPr>
    <w:r>
      <w:rPr>
        <w:b/>
        <w:color w:val="404040"/>
        <w:sz w:val="22"/>
      </w:rPr>
      <w:t xml:space="preserve">PAGE </w:t>
    </w:r>
    <w:r>
      <w:rPr>
        <w:b/>
        <w:color w:val="404040"/>
        <w:sz w:val="22"/>
      </w:rPr>
      <w:fldChar w:fldCharType="begin"/>
    </w:r>
    <w:r>
      <w:rPr>
        <w:b/>
        <w:color w:val="404040"/>
        <w:sz w:val="22"/>
      </w:rPr>
      <w:instrText xml:space="preserve"> </w:instrText>
    </w:r>
    <w:r w:rsidR="003B6CBF">
      <w:rPr>
        <w:b/>
        <w:color w:val="404040"/>
        <w:sz w:val="22"/>
      </w:rPr>
      <w:instrText>PAGE</w:instrText>
    </w:r>
    <w:r>
      <w:rPr>
        <w:b/>
        <w:color w:val="404040"/>
        <w:sz w:val="22"/>
      </w:rPr>
      <w:instrText xml:space="preserve">   \* MERGEFORMAT </w:instrText>
    </w:r>
    <w:r>
      <w:rPr>
        <w:b/>
        <w:color w:val="404040"/>
        <w:sz w:val="22"/>
      </w:rPr>
      <w:fldChar w:fldCharType="separate"/>
    </w:r>
    <w:r w:rsidR="00372927">
      <w:rPr>
        <w:b/>
        <w:color w:val="404040"/>
        <w:sz w:val="22"/>
      </w:rPr>
      <w:t>2</w:t>
    </w:r>
    <w:r>
      <w:rPr>
        <w:b/>
        <w:color w:val="404040"/>
        <w:sz w:val="22"/>
      </w:rPr>
      <w:fldChar w:fldCharType="end"/>
    </w:r>
    <w:r>
      <w:rPr>
        <w:b/>
        <w:color w:val="404040"/>
        <w:sz w:val="22"/>
      </w:rPr>
      <w:t>/</w:t>
    </w:r>
    <w:fldSimple w:instr=" NUMPAGES   \* MERGEFORMAT ">
      <w:r w:rsidR="00372927" w:rsidRPr="00372927">
        <w:rPr>
          <w:b/>
          <w:color w:val="404040"/>
          <w:sz w:val="22"/>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5765" w14:textId="77777777" w:rsidR="001B59DE" w:rsidRDefault="001B59DE" w:rsidP="001B46AB">
      <w:r>
        <w:separator/>
      </w:r>
    </w:p>
  </w:footnote>
  <w:footnote w:type="continuationSeparator" w:id="0">
    <w:p w14:paraId="63F75766" w14:textId="77777777" w:rsidR="001B59DE" w:rsidRDefault="001B59DE"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04"/>
      <w:gridCol w:w="4438"/>
    </w:tblGrid>
    <w:tr w:rsidR="00E52A8B" w:rsidRPr="003E374B" w14:paraId="63F7576B" w14:textId="77777777" w:rsidTr="001B46AB">
      <w:tc>
        <w:tcPr>
          <w:tcW w:w="5172" w:type="dxa"/>
          <w:shd w:val="clear" w:color="auto" w:fill="auto"/>
          <w:vAlign w:val="center"/>
        </w:tcPr>
        <w:p w14:paraId="63F75769" w14:textId="77777777" w:rsidR="00E52A8B" w:rsidRPr="00564DE5" w:rsidRDefault="007E0D04" w:rsidP="001B46AB">
          <w:pPr>
            <w:pStyle w:val="En-tte"/>
            <w:rPr>
              <w:b/>
              <w:bCs/>
              <w:color w:val="003C8A"/>
            </w:rPr>
          </w:pPr>
          <w:r>
            <w:rPr>
              <w:color w:val="7F7F7F"/>
              <w:lang w:val="en-US" w:eastAsia="en-US"/>
            </w:rPr>
            <w:drawing>
              <wp:inline distT="0" distB="0" distL="0" distR="0" wp14:anchorId="63F7576E" wp14:editId="63F7576F">
                <wp:extent cx="2268855" cy="379730"/>
                <wp:effectExtent l="19050" t="0" r="0" b="0"/>
                <wp:docPr id="1"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srcRect/>
                        <a:stretch>
                          <a:fillRect/>
                        </a:stretch>
                      </pic:blipFill>
                      <pic:spPr bwMode="auto">
                        <a:xfrm>
                          <a:off x="0" y="0"/>
                          <a:ext cx="2268855" cy="379730"/>
                        </a:xfrm>
                        <a:prstGeom prst="rect">
                          <a:avLst/>
                        </a:prstGeom>
                        <a:noFill/>
                        <a:ln w="9525">
                          <a:noFill/>
                          <a:miter lim="800000"/>
                          <a:headEnd/>
                          <a:tailEnd/>
                        </a:ln>
                      </pic:spPr>
                    </pic:pic>
                  </a:graphicData>
                </a:graphic>
              </wp:inline>
            </w:drawing>
          </w:r>
        </w:p>
      </w:tc>
      <w:tc>
        <w:tcPr>
          <w:tcW w:w="5172" w:type="dxa"/>
          <w:shd w:val="clear" w:color="auto" w:fill="auto"/>
          <w:vAlign w:val="center"/>
        </w:tcPr>
        <w:p w14:paraId="63F7576A" w14:textId="77777777" w:rsidR="00E52A8B" w:rsidRPr="00564DE5" w:rsidRDefault="00FE6DAB" w:rsidP="00C863EE">
          <w:pPr>
            <w:pStyle w:val="En-tte"/>
            <w:jc w:val="right"/>
            <w:rPr>
              <w:b/>
              <w:bCs/>
              <w:color w:val="003C8A"/>
            </w:rPr>
          </w:pPr>
          <w:r>
            <w:rPr>
              <w:b/>
              <w:color w:val="003C8A"/>
              <w:sz w:val="28"/>
            </w:rPr>
            <w:t>Pressemitteilung</w:t>
          </w:r>
        </w:p>
      </w:tc>
    </w:tr>
  </w:tbl>
  <w:p w14:paraId="63F7576C" w14:textId="77777777" w:rsidR="00E52A8B" w:rsidRPr="00564DE5" w:rsidRDefault="00E52A8B" w:rsidP="001B46AB">
    <w:pPr>
      <w:pStyle w:val="En-tte"/>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9C4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EA031E"/>
    <w:multiLevelType w:val="hybridMultilevel"/>
    <w:tmpl w:val="90DCD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6046F"/>
    <w:multiLevelType w:val="hybridMultilevel"/>
    <w:tmpl w:val="3B50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1E1859"/>
    <w:multiLevelType w:val="hybridMultilevel"/>
    <w:tmpl w:val="6E6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66B3F"/>
    <w:multiLevelType w:val="hybridMultilevel"/>
    <w:tmpl w:val="565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3E374B"/>
    <w:rsid w:val="00017F00"/>
    <w:rsid w:val="00024642"/>
    <w:rsid w:val="00031CA1"/>
    <w:rsid w:val="000359BE"/>
    <w:rsid w:val="00037006"/>
    <w:rsid w:val="00040753"/>
    <w:rsid w:val="00043838"/>
    <w:rsid w:val="00046814"/>
    <w:rsid w:val="00046952"/>
    <w:rsid w:val="000509BF"/>
    <w:rsid w:val="00061AAF"/>
    <w:rsid w:val="00062061"/>
    <w:rsid w:val="00063C10"/>
    <w:rsid w:val="0008250E"/>
    <w:rsid w:val="00090377"/>
    <w:rsid w:val="00091E3F"/>
    <w:rsid w:val="000A5273"/>
    <w:rsid w:val="000B0286"/>
    <w:rsid w:val="000C19A6"/>
    <w:rsid w:val="000C365E"/>
    <w:rsid w:val="000C3D3E"/>
    <w:rsid w:val="000D2251"/>
    <w:rsid w:val="000D267F"/>
    <w:rsid w:val="000D50AB"/>
    <w:rsid w:val="000E3004"/>
    <w:rsid w:val="000E5D36"/>
    <w:rsid w:val="00105445"/>
    <w:rsid w:val="00105AA0"/>
    <w:rsid w:val="00131789"/>
    <w:rsid w:val="00137FDF"/>
    <w:rsid w:val="00142B09"/>
    <w:rsid w:val="00142C34"/>
    <w:rsid w:val="00142CA6"/>
    <w:rsid w:val="00183EF5"/>
    <w:rsid w:val="0019276D"/>
    <w:rsid w:val="00194EC8"/>
    <w:rsid w:val="00196BCC"/>
    <w:rsid w:val="001B46AB"/>
    <w:rsid w:val="001B59DE"/>
    <w:rsid w:val="001B6CF0"/>
    <w:rsid w:val="001C012D"/>
    <w:rsid w:val="001C1600"/>
    <w:rsid w:val="001C4DBE"/>
    <w:rsid w:val="001C695D"/>
    <w:rsid w:val="001C6D75"/>
    <w:rsid w:val="001E0BD5"/>
    <w:rsid w:val="001E11F3"/>
    <w:rsid w:val="001E1C0C"/>
    <w:rsid w:val="001E337A"/>
    <w:rsid w:val="001F65F6"/>
    <w:rsid w:val="001F7C1F"/>
    <w:rsid w:val="00231603"/>
    <w:rsid w:val="00234CBB"/>
    <w:rsid w:val="00253F4E"/>
    <w:rsid w:val="00255733"/>
    <w:rsid w:val="0026563C"/>
    <w:rsid w:val="00272304"/>
    <w:rsid w:val="00287CAA"/>
    <w:rsid w:val="002A0148"/>
    <w:rsid w:val="002C0515"/>
    <w:rsid w:val="002E2F6B"/>
    <w:rsid w:val="002E3726"/>
    <w:rsid w:val="002F0DCC"/>
    <w:rsid w:val="002F5483"/>
    <w:rsid w:val="002F62BD"/>
    <w:rsid w:val="003105A7"/>
    <w:rsid w:val="003239BE"/>
    <w:rsid w:val="0032703D"/>
    <w:rsid w:val="0033054F"/>
    <w:rsid w:val="00342F65"/>
    <w:rsid w:val="00344AE2"/>
    <w:rsid w:val="00356CAE"/>
    <w:rsid w:val="00357E6E"/>
    <w:rsid w:val="003600A4"/>
    <w:rsid w:val="00372927"/>
    <w:rsid w:val="00372968"/>
    <w:rsid w:val="003752C7"/>
    <w:rsid w:val="0039560C"/>
    <w:rsid w:val="003A1666"/>
    <w:rsid w:val="003B0E40"/>
    <w:rsid w:val="003B3B35"/>
    <w:rsid w:val="003B6CBF"/>
    <w:rsid w:val="003D46AF"/>
    <w:rsid w:val="003D54FD"/>
    <w:rsid w:val="003E374B"/>
    <w:rsid w:val="004176FD"/>
    <w:rsid w:val="0042139C"/>
    <w:rsid w:val="00424E66"/>
    <w:rsid w:val="004408AD"/>
    <w:rsid w:val="0045754C"/>
    <w:rsid w:val="00463406"/>
    <w:rsid w:val="004645AD"/>
    <w:rsid w:val="00482457"/>
    <w:rsid w:val="004956A0"/>
    <w:rsid w:val="004A315D"/>
    <w:rsid w:val="004B36A1"/>
    <w:rsid w:val="004B48A6"/>
    <w:rsid w:val="004C209A"/>
    <w:rsid w:val="004C7D63"/>
    <w:rsid w:val="004D40FE"/>
    <w:rsid w:val="004D66E5"/>
    <w:rsid w:val="004E475E"/>
    <w:rsid w:val="00504A3D"/>
    <w:rsid w:val="005111B0"/>
    <w:rsid w:val="0051174D"/>
    <w:rsid w:val="0051291C"/>
    <w:rsid w:val="005148AD"/>
    <w:rsid w:val="00522DEF"/>
    <w:rsid w:val="005242F0"/>
    <w:rsid w:val="00527B33"/>
    <w:rsid w:val="00563559"/>
    <w:rsid w:val="00591DC1"/>
    <w:rsid w:val="00592A2D"/>
    <w:rsid w:val="005B17C4"/>
    <w:rsid w:val="005C2F91"/>
    <w:rsid w:val="005C3F25"/>
    <w:rsid w:val="005D76E2"/>
    <w:rsid w:val="0060017E"/>
    <w:rsid w:val="00603663"/>
    <w:rsid w:val="00624DC4"/>
    <w:rsid w:val="00625C0B"/>
    <w:rsid w:val="006338F1"/>
    <w:rsid w:val="00645D97"/>
    <w:rsid w:val="00666A2A"/>
    <w:rsid w:val="00667054"/>
    <w:rsid w:val="0066757F"/>
    <w:rsid w:val="00691ECA"/>
    <w:rsid w:val="00693B7C"/>
    <w:rsid w:val="0069581D"/>
    <w:rsid w:val="006979F6"/>
    <w:rsid w:val="006A4712"/>
    <w:rsid w:val="006A7828"/>
    <w:rsid w:val="006B33C1"/>
    <w:rsid w:val="006C3083"/>
    <w:rsid w:val="006C433B"/>
    <w:rsid w:val="006D223F"/>
    <w:rsid w:val="006F1D3D"/>
    <w:rsid w:val="006F2FDC"/>
    <w:rsid w:val="006F7390"/>
    <w:rsid w:val="006F752B"/>
    <w:rsid w:val="00705083"/>
    <w:rsid w:val="007066F0"/>
    <w:rsid w:val="007168CB"/>
    <w:rsid w:val="007274C0"/>
    <w:rsid w:val="00730A69"/>
    <w:rsid w:val="00736764"/>
    <w:rsid w:val="00740249"/>
    <w:rsid w:val="00740496"/>
    <w:rsid w:val="00746D78"/>
    <w:rsid w:val="00747919"/>
    <w:rsid w:val="00787987"/>
    <w:rsid w:val="0079109F"/>
    <w:rsid w:val="007A1F78"/>
    <w:rsid w:val="007A23F1"/>
    <w:rsid w:val="007B2B03"/>
    <w:rsid w:val="007B6587"/>
    <w:rsid w:val="007D5563"/>
    <w:rsid w:val="007D7CEC"/>
    <w:rsid w:val="007E0D04"/>
    <w:rsid w:val="007E1D1D"/>
    <w:rsid w:val="008049D6"/>
    <w:rsid w:val="0080668E"/>
    <w:rsid w:val="0081472E"/>
    <w:rsid w:val="00817E5D"/>
    <w:rsid w:val="00831B70"/>
    <w:rsid w:val="0084079A"/>
    <w:rsid w:val="00865BF5"/>
    <w:rsid w:val="00871DAE"/>
    <w:rsid w:val="008733B8"/>
    <w:rsid w:val="00874546"/>
    <w:rsid w:val="00874995"/>
    <w:rsid w:val="00882476"/>
    <w:rsid w:val="008A79EE"/>
    <w:rsid w:val="008B160A"/>
    <w:rsid w:val="008B2456"/>
    <w:rsid w:val="008B2E5D"/>
    <w:rsid w:val="008B3735"/>
    <w:rsid w:val="008B4C34"/>
    <w:rsid w:val="008C03BD"/>
    <w:rsid w:val="008E62FB"/>
    <w:rsid w:val="00905A55"/>
    <w:rsid w:val="00907B8F"/>
    <w:rsid w:val="00926E05"/>
    <w:rsid w:val="0093130F"/>
    <w:rsid w:val="009374B9"/>
    <w:rsid w:val="00937BCE"/>
    <w:rsid w:val="00941442"/>
    <w:rsid w:val="00947C45"/>
    <w:rsid w:val="009755B8"/>
    <w:rsid w:val="00977C88"/>
    <w:rsid w:val="00986C81"/>
    <w:rsid w:val="00987AAE"/>
    <w:rsid w:val="009913FE"/>
    <w:rsid w:val="009A08D8"/>
    <w:rsid w:val="009A1B37"/>
    <w:rsid w:val="009C1E28"/>
    <w:rsid w:val="009D4E0E"/>
    <w:rsid w:val="009E65FE"/>
    <w:rsid w:val="009F16FD"/>
    <w:rsid w:val="009F3B56"/>
    <w:rsid w:val="009F6344"/>
    <w:rsid w:val="009F6A3A"/>
    <w:rsid w:val="009F767E"/>
    <w:rsid w:val="00A0039D"/>
    <w:rsid w:val="00A05439"/>
    <w:rsid w:val="00A1158C"/>
    <w:rsid w:val="00A14789"/>
    <w:rsid w:val="00A34A2A"/>
    <w:rsid w:val="00A370F5"/>
    <w:rsid w:val="00A37676"/>
    <w:rsid w:val="00A40A59"/>
    <w:rsid w:val="00A4209D"/>
    <w:rsid w:val="00A46D98"/>
    <w:rsid w:val="00A5652A"/>
    <w:rsid w:val="00A57AC3"/>
    <w:rsid w:val="00A61674"/>
    <w:rsid w:val="00A72CCD"/>
    <w:rsid w:val="00A73807"/>
    <w:rsid w:val="00A7441D"/>
    <w:rsid w:val="00A836EB"/>
    <w:rsid w:val="00A87D19"/>
    <w:rsid w:val="00AB0A97"/>
    <w:rsid w:val="00AC1666"/>
    <w:rsid w:val="00AE7E8D"/>
    <w:rsid w:val="00B014DE"/>
    <w:rsid w:val="00B063BE"/>
    <w:rsid w:val="00B072FE"/>
    <w:rsid w:val="00B22A99"/>
    <w:rsid w:val="00B26280"/>
    <w:rsid w:val="00B560F6"/>
    <w:rsid w:val="00B67280"/>
    <w:rsid w:val="00B7283F"/>
    <w:rsid w:val="00B84CC1"/>
    <w:rsid w:val="00B93590"/>
    <w:rsid w:val="00B9604F"/>
    <w:rsid w:val="00BA2D0E"/>
    <w:rsid w:val="00BA5258"/>
    <w:rsid w:val="00BA7A48"/>
    <w:rsid w:val="00BB5E09"/>
    <w:rsid w:val="00BC3167"/>
    <w:rsid w:val="00BC4500"/>
    <w:rsid w:val="00BC798C"/>
    <w:rsid w:val="00BE0E4A"/>
    <w:rsid w:val="00BE1800"/>
    <w:rsid w:val="00BF5B8B"/>
    <w:rsid w:val="00C07891"/>
    <w:rsid w:val="00C25041"/>
    <w:rsid w:val="00C3330F"/>
    <w:rsid w:val="00C35B62"/>
    <w:rsid w:val="00C375C4"/>
    <w:rsid w:val="00C42266"/>
    <w:rsid w:val="00C4310D"/>
    <w:rsid w:val="00C501E6"/>
    <w:rsid w:val="00C5410B"/>
    <w:rsid w:val="00C723CA"/>
    <w:rsid w:val="00C863EE"/>
    <w:rsid w:val="00C90CAA"/>
    <w:rsid w:val="00C93064"/>
    <w:rsid w:val="00C97830"/>
    <w:rsid w:val="00CA7A4E"/>
    <w:rsid w:val="00CB21A5"/>
    <w:rsid w:val="00CC1086"/>
    <w:rsid w:val="00CC3A86"/>
    <w:rsid w:val="00CD2F1E"/>
    <w:rsid w:val="00CE5583"/>
    <w:rsid w:val="00CF3623"/>
    <w:rsid w:val="00D05DAD"/>
    <w:rsid w:val="00D06765"/>
    <w:rsid w:val="00D12C32"/>
    <w:rsid w:val="00D158B2"/>
    <w:rsid w:val="00D15BA9"/>
    <w:rsid w:val="00D22799"/>
    <w:rsid w:val="00D248A3"/>
    <w:rsid w:val="00D24E9F"/>
    <w:rsid w:val="00D354B6"/>
    <w:rsid w:val="00D50C48"/>
    <w:rsid w:val="00D55028"/>
    <w:rsid w:val="00D61B8D"/>
    <w:rsid w:val="00D772F6"/>
    <w:rsid w:val="00DA5FBB"/>
    <w:rsid w:val="00DA6879"/>
    <w:rsid w:val="00DB3E88"/>
    <w:rsid w:val="00DB4905"/>
    <w:rsid w:val="00DB5686"/>
    <w:rsid w:val="00DD26C6"/>
    <w:rsid w:val="00DE22B8"/>
    <w:rsid w:val="00DE38DC"/>
    <w:rsid w:val="00E0024B"/>
    <w:rsid w:val="00E01997"/>
    <w:rsid w:val="00E02C75"/>
    <w:rsid w:val="00E0716F"/>
    <w:rsid w:val="00E20470"/>
    <w:rsid w:val="00E2636C"/>
    <w:rsid w:val="00E3513E"/>
    <w:rsid w:val="00E41831"/>
    <w:rsid w:val="00E41876"/>
    <w:rsid w:val="00E5101A"/>
    <w:rsid w:val="00E52A8B"/>
    <w:rsid w:val="00E659BB"/>
    <w:rsid w:val="00E739AF"/>
    <w:rsid w:val="00E803B0"/>
    <w:rsid w:val="00E812F4"/>
    <w:rsid w:val="00E922B4"/>
    <w:rsid w:val="00EA5D38"/>
    <w:rsid w:val="00EB3D6E"/>
    <w:rsid w:val="00EB3D73"/>
    <w:rsid w:val="00EB45A0"/>
    <w:rsid w:val="00EC2AAE"/>
    <w:rsid w:val="00EC2F18"/>
    <w:rsid w:val="00EC5614"/>
    <w:rsid w:val="00EC78E7"/>
    <w:rsid w:val="00ED688A"/>
    <w:rsid w:val="00EF41B8"/>
    <w:rsid w:val="00F2388E"/>
    <w:rsid w:val="00F2425C"/>
    <w:rsid w:val="00F53E19"/>
    <w:rsid w:val="00F66D53"/>
    <w:rsid w:val="00F71986"/>
    <w:rsid w:val="00F81965"/>
    <w:rsid w:val="00FB0E95"/>
    <w:rsid w:val="00FB7186"/>
    <w:rsid w:val="00FC2C4A"/>
    <w:rsid w:val="00FC4F9F"/>
    <w:rsid w:val="00FE3052"/>
    <w:rsid w:val="00FE6DAB"/>
    <w:rsid w:val="00FF00B5"/>
    <w:rsid w:val="00FF0E29"/>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7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lang w:val="fr-FR"/>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lang w:val="fr-FR"/>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lang w:val="fr-FR" w:eastAsia="fr-FR"/>
    </w:rPr>
  </w:style>
  <w:style w:type="character" w:styleId="Accentuation">
    <w:name w:val="Emphasis"/>
    <w:uiPriority w:val="20"/>
    <w:qFormat/>
    <w:rsid w:val="009A1B37"/>
    <w:rPr>
      <w:i/>
      <w:iCs/>
    </w:rPr>
  </w:style>
  <w:style w:type="character" w:styleId="lev">
    <w:name w:val="Strong"/>
    <w:uiPriority w:val="22"/>
    <w:qFormat/>
    <w:rsid w:val="00C42266"/>
    <w:rPr>
      <w:b/>
      <w:bCs/>
    </w:rPr>
  </w:style>
  <w:style w:type="character" w:styleId="Lienhypertextesuivivisit">
    <w:name w:val="FollowedHyperlink"/>
    <w:basedOn w:val="Policepardfaut"/>
    <w:uiPriority w:val="99"/>
    <w:semiHidden/>
    <w:unhideWhenUsed/>
    <w:rsid w:val="00706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490">
      <w:bodyDiv w:val="1"/>
      <w:marLeft w:val="0"/>
      <w:marRight w:val="0"/>
      <w:marTop w:val="0"/>
      <w:marBottom w:val="0"/>
      <w:divBdr>
        <w:top w:val="none" w:sz="0" w:space="0" w:color="auto"/>
        <w:left w:val="none" w:sz="0" w:space="0" w:color="auto"/>
        <w:bottom w:val="none" w:sz="0" w:space="0" w:color="auto"/>
        <w:right w:val="none" w:sz="0" w:space="0" w:color="auto"/>
      </w:divBdr>
    </w:div>
    <w:div w:id="18184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ome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teffen.breiter@socomec.com" TargetMode="External"/><Relationship Id="rId10" Type="http://schemas.openxmlformats.org/officeDocument/2006/relationships/hyperlink" Target="http://www.socomec.de/reihe-green-power-usv_de.html?product=/usv_anlagen-modulys-gp-green-power_de.html&amp;view=pictu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5E74-348D-492A-94CC-AE811AA5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4199</CharactersWithSpaces>
  <SharedDoc>false</SharedDoc>
  <HLinks>
    <vt:vector size="12" baseType="variant">
      <vt:variant>
        <vt:i4>3866740</vt:i4>
      </vt:variant>
      <vt:variant>
        <vt:i4>3</vt:i4>
      </vt:variant>
      <vt:variant>
        <vt:i4>0</vt:i4>
      </vt:variant>
      <vt:variant>
        <vt:i4>5</vt:i4>
      </vt:variant>
      <vt:variant>
        <vt:lpwstr>http://www.socomec.com/</vt:lpwstr>
      </vt:variant>
      <vt:variant>
        <vt:lpwstr/>
      </vt:variant>
      <vt:variant>
        <vt:i4>2162805</vt:i4>
      </vt:variant>
      <vt:variant>
        <vt:i4>0</vt:i4>
      </vt:variant>
      <vt:variant>
        <vt:i4>0</vt:i4>
      </vt:variant>
      <vt:variant>
        <vt:i4>5</vt:i4>
      </vt:variant>
      <vt:variant>
        <vt:lpwstr>http://www.socomec.com/gamme-centrales-de-mesure_fr.html?product=/sites/systemsite/contents/products/switching_protection/products_scp/energy_efficiency/electrical_measurement/Multi_function_meter_/diris-a17&amp;view=picture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denis.sallee@socomec.com</dc:creator>
  <cp:lastModifiedBy>SCHOTT Stella</cp:lastModifiedBy>
  <cp:revision>20</cp:revision>
  <cp:lastPrinted>2014-06-16T13:53:00Z</cp:lastPrinted>
  <dcterms:created xsi:type="dcterms:W3CDTF">2014-10-14T10:36:00Z</dcterms:created>
  <dcterms:modified xsi:type="dcterms:W3CDTF">2015-04-09T07:46:00Z</dcterms:modified>
</cp:coreProperties>
</file>